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Default="007A39EA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EA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509880779" r:id="rId10"/>
        </w:pi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E379EA" w:rsidRDefault="00E379EA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 xml:space="preserve">           </w:t>
      </w:r>
      <w:r w:rsidRPr="00E379EA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How to </w:t>
      </w:r>
      <w:r w:rsidR="007A39EA" w:rsidRPr="00E379EA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Personalize </w:t>
      </w:r>
      <w:r w:rsidRPr="00E379EA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a </w:t>
      </w:r>
      <w:r w:rsidR="00D97ECD" w:rsidRPr="00E379EA">
        <w:rPr>
          <w:rFonts w:ascii="Verdana" w:hAnsi="Verdana" w:cs="Arial"/>
          <w:b/>
          <w:bCs/>
          <w:noProof/>
          <w:sz w:val="28"/>
          <w:szCs w:val="28"/>
          <w:lang w:val="en-US"/>
        </w:rPr>
        <w:t>Page to Expand Sections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7A39EA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11/24/2015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7A39EA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1.0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7A39EA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11/24</w:t>
            </w:r>
            <w:r w:rsidR="00800551" w:rsidRPr="00800551">
              <w:rPr>
                <w:rFonts w:ascii="Verdana" w:hAnsi="Verdana"/>
              </w:rPr>
              <w:t>/2015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6105D7" w:rsidP="00C268F6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Process</w:t>
            </w:r>
            <w:r w:rsidR="00800551" w:rsidRPr="00800551">
              <w:rPr>
                <w:rFonts w:ascii="Verdana" w:hAnsi="Verdana"/>
                <w:b/>
                <w:noProof/>
              </w:rPr>
              <w:t xml:space="preserve">:  </w:t>
            </w:r>
          </w:p>
        </w:tc>
        <w:tc>
          <w:tcPr>
            <w:tcW w:w="7128" w:type="dxa"/>
          </w:tcPr>
          <w:p w:rsidR="00D97ECD" w:rsidRDefault="00D97ECD" w:rsidP="00D97ECD">
            <w:r>
              <w:t xml:space="preserve">To format a page to open with all lines and accounting lines expanded. </w:t>
            </w:r>
          </w:p>
          <w:p w:rsidR="00D97ECD" w:rsidRDefault="00D97ECD" w:rsidP="00D97ECD"/>
          <w:p w:rsidR="00D97ECD" w:rsidRPr="00D97ECD" w:rsidRDefault="00D97ECD" w:rsidP="00D97ECD">
            <w:pPr>
              <w:rPr>
                <w:rFonts w:ascii="Calibri" w:hAnsi="Calibri"/>
              </w:rPr>
            </w:pPr>
            <w:r>
              <w:t>These screenshots show Requisitions, but these instructions should work on all pages.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7A39EA" w:rsidRDefault="00D97ECD" w:rsidP="00D97ECD">
            <w:pPr>
              <w:pStyle w:val="ListParagraph"/>
              <w:numPr>
                <w:ilvl w:val="0"/>
                <w:numId w:val="14"/>
              </w:numPr>
            </w:pPr>
            <w:r>
              <w:t>Click the Expand arrow in the ‘Requisition Lines’ section</w:t>
            </w:r>
          </w:p>
        </w:tc>
        <w:tc>
          <w:tcPr>
            <w:tcW w:w="7128" w:type="dxa"/>
          </w:tcPr>
          <w:p w:rsidR="000B12F4" w:rsidRPr="00800551" w:rsidRDefault="00D97ECD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9910C1E" wp14:editId="5C8AB350">
                  <wp:extent cx="4363676" cy="1724025"/>
                  <wp:effectExtent l="57150" t="57150" r="113665" b="1047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842" cy="1725276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7A39EA" w:rsidRDefault="00D97ECD" w:rsidP="00D97ECD">
            <w:pPr>
              <w:pStyle w:val="ListParagraph"/>
              <w:numPr>
                <w:ilvl w:val="0"/>
                <w:numId w:val="14"/>
              </w:numPr>
            </w:pPr>
            <w:r>
              <w:t>Click the Expand arrow next to the ‘Accounting Lines’ text</w:t>
            </w:r>
          </w:p>
        </w:tc>
        <w:tc>
          <w:tcPr>
            <w:tcW w:w="7128" w:type="dxa"/>
          </w:tcPr>
          <w:p w:rsidR="000B12F4" w:rsidRPr="00800551" w:rsidRDefault="00D97ECD" w:rsidP="0080055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00DEACA" wp14:editId="40F52259">
                  <wp:extent cx="4334166" cy="1971675"/>
                  <wp:effectExtent l="57150" t="57150" r="123825" b="1047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011" cy="1976154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Pr="007A39EA" w:rsidRDefault="00D97ECD" w:rsidP="00D97ECD">
            <w:pPr>
              <w:pStyle w:val="ListParagraph"/>
              <w:numPr>
                <w:ilvl w:val="0"/>
                <w:numId w:val="14"/>
              </w:numPr>
            </w:pPr>
            <w:r>
              <w:t>Click the ‘Personalize Page’ link in the upper right-hand corner of the screen</w:t>
            </w:r>
          </w:p>
        </w:tc>
        <w:tc>
          <w:tcPr>
            <w:tcW w:w="7128" w:type="dxa"/>
          </w:tcPr>
          <w:p w:rsidR="000A7AED" w:rsidRPr="0096757B" w:rsidRDefault="00D97ECD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37771" wp14:editId="2C79EBFD">
                  <wp:extent cx="4305300" cy="277821"/>
                  <wp:effectExtent l="57150" t="57150" r="114300" b="1225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34002" cy="279673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AED" w:rsidRPr="00161D65" w:rsidTr="00161D65">
        <w:tc>
          <w:tcPr>
            <w:tcW w:w="3330" w:type="dxa"/>
          </w:tcPr>
          <w:p w:rsidR="000A7AED" w:rsidRPr="00D97ECD" w:rsidRDefault="00D97ECD" w:rsidP="00D97EC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Check the box next to “Save the state of the expanded/collapsed sections on this page.”</w:t>
            </w:r>
          </w:p>
        </w:tc>
        <w:tc>
          <w:tcPr>
            <w:tcW w:w="7128" w:type="dxa"/>
          </w:tcPr>
          <w:p w:rsidR="000A7AED" w:rsidRPr="0096757B" w:rsidRDefault="00D97ECD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F1CC1" wp14:editId="47DEFBC5">
                  <wp:extent cx="4350499" cy="2343150"/>
                  <wp:effectExtent l="57150" t="57150" r="107315" b="1143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021" cy="2343431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7A39EA" w:rsidRDefault="00D97ECD" w:rsidP="00D97ECD">
            <w:pPr>
              <w:pStyle w:val="ListParagraph"/>
              <w:numPr>
                <w:ilvl w:val="0"/>
                <w:numId w:val="14"/>
              </w:numPr>
            </w:pPr>
            <w:r>
              <w:t>Click OK</w:t>
            </w: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E379EA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E379EA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D8173F6"/>
    <w:multiLevelType w:val="hybridMultilevel"/>
    <w:tmpl w:val="84D8BBDE"/>
    <w:lvl w:ilvl="0" w:tplc="B0B6CD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4D58"/>
    <w:multiLevelType w:val="hybridMultilevel"/>
    <w:tmpl w:val="54E2FB2C"/>
    <w:lvl w:ilvl="0" w:tplc="4D02B1B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25F19"/>
    <w:multiLevelType w:val="hybridMultilevel"/>
    <w:tmpl w:val="06C4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E10D4"/>
    <w:multiLevelType w:val="hybridMultilevel"/>
    <w:tmpl w:val="453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68B1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39EA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B3C90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97ECD"/>
    <w:rsid w:val="00DB39DE"/>
    <w:rsid w:val="00DB3D9B"/>
    <w:rsid w:val="00DB76F4"/>
    <w:rsid w:val="00DD2131"/>
    <w:rsid w:val="00DD7F86"/>
    <w:rsid w:val="00DE0CEC"/>
    <w:rsid w:val="00DF5022"/>
    <w:rsid w:val="00E379EA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A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E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A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9E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Sarah Tongier</cp:lastModifiedBy>
  <cp:revision>4</cp:revision>
  <cp:lastPrinted>2012-11-27T20:45:00Z</cp:lastPrinted>
  <dcterms:created xsi:type="dcterms:W3CDTF">2015-11-24T20:01:00Z</dcterms:created>
  <dcterms:modified xsi:type="dcterms:W3CDTF">2015-11-24T20:33:00Z</dcterms:modified>
</cp:coreProperties>
</file>