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E42" w:rsidRDefault="00CE4786" w:rsidP="000B12F4">
      <w:pPr>
        <w:pStyle w:val="Header"/>
        <w:spacing w:before="12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cs="Arial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28575</wp:posOffset>
            </wp:positionV>
            <wp:extent cx="1266825" cy="76517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A5B">
        <w:rPr>
          <w:rFonts w:ascii="Calibri" w:hAnsi="Calibri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in;height:66.2pt;z-index:-251658240;mso-position-horizontal:center;mso-position-horizontal-relative:text;mso-position-vertical-relative:text" stroked="t" strokeweight="2pt">
            <v:imagedata r:id="rId8" o:title=""/>
            <o:lock v:ext="edit" aspectratio="f"/>
          </v:shape>
          <o:OLEObject Type="Embed" ProgID="Visio.Drawing.11" ShapeID="_x0000_s1027" DrawAspect="Content" ObjectID="_1613463202" r:id="rId9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:rsidR="00800551" w:rsidRPr="00800551" w:rsidRDefault="00E42952" w:rsidP="000B12F4">
      <w:pPr>
        <w:pStyle w:val="Header"/>
        <w:spacing w:before="120"/>
        <w:jc w:val="center"/>
        <w:rPr>
          <w:rFonts w:ascii="Verdana" w:hAnsi="Verdana" w:cs="Arial"/>
          <w:b/>
          <w:bCs/>
          <w:noProof/>
          <w:sz w:val="32"/>
          <w:szCs w:val="32"/>
          <w:lang w:val="en-US"/>
        </w:rPr>
      </w:pPr>
      <w:r>
        <w:rPr>
          <w:rFonts w:ascii="Verdana" w:hAnsi="Verdana" w:cs="Arial"/>
          <w:b/>
          <w:bCs/>
          <w:noProof/>
          <w:sz w:val="32"/>
          <w:szCs w:val="32"/>
          <w:lang w:val="en-US"/>
        </w:rPr>
        <w:t>Billing Homepage</w:t>
      </w:r>
      <w:r w:rsidR="00D864BD">
        <w:rPr>
          <w:rFonts w:ascii="Verdana" w:hAnsi="Verdana" w:cs="Arial"/>
          <w:b/>
          <w:bCs/>
          <w:noProof/>
          <w:sz w:val="32"/>
          <w:szCs w:val="32"/>
          <w:lang w:val="en-US"/>
        </w:rPr>
        <w:t xml:space="preserve"> Guide</w:t>
      </w:r>
    </w:p>
    <w:p w:rsidR="005F7B5A" w:rsidRPr="00996C68" w:rsidRDefault="00800E42" w:rsidP="00800551">
      <w:pPr>
        <w:spacing w:after="360"/>
        <w:jc w:val="center"/>
        <w:rPr>
          <w:rFonts w:ascii="Calibri" w:hAnsi="Calibri"/>
          <w:i/>
          <w:sz w:val="20"/>
          <w:szCs w:val="20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:rsidR="00341BE7" w:rsidRDefault="00341BE7" w:rsidP="00996C68">
      <w:pPr>
        <w:spacing w:after="100" w:afterAutospacing="1"/>
        <w:rPr>
          <w:rFonts w:ascii="Calibri" w:hAnsi="Calibri"/>
        </w:rPr>
      </w:pP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128"/>
      </w:tblGrid>
      <w:tr w:rsidR="00AF2E3C" w:rsidRPr="00161D65" w:rsidTr="00161D65">
        <w:tc>
          <w:tcPr>
            <w:tcW w:w="3330" w:type="dxa"/>
          </w:tcPr>
          <w:p w:rsidR="00AF2E3C" w:rsidRPr="00800551" w:rsidRDefault="00AF2E3C" w:rsidP="00161D65">
            <w:pPr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Date Created:</w:t>
            </w:r>
          </w:p>
        </w:tc>
        <w:tc>
          <w:tcPr>
            <w:tcW w:w="7128" w:type="dxa"/>
          </w:tcPr>
          <w:p w:rsidR="003738F2" w:rsidRPr="00800551" w:rsidRDefault="00E42952" w:rsidP="00290E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2/19/2019</w:t>
            </w:r>
          </w:p>
        </w:tc>
      </w:tr>
      <w:tr w:rsidR="00AF2E3C" w:rsidRPr="00161D65" w:rsidTr="00161D65">
        <w:tc>
          <w:tcPr>
            <w:tcW w:w="3330" w:type="dxa"/>
          </w:tcPr>
          <w:p w:rsidR="00AF2E3C" w:rsidRPr="00800551" w:rsidRDefault="00AF2E3C" w:rsidP="00161D65">
            <w:pPr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Version:</w:t>
            </w:r>
          </w:p>
        </w:tc>
        <w:tc>
          <w:tcPr>
            <w:tcW w:w="7128" w:type="dxa"/>
          </w:tcPr>
          <w:p w:rsidR="00AF2E3C" w:rsidRPr="00800551" w:rsidRDefault="00E42952" w:rsidP="00EE1A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1.0</w:t>
            </w:r>
          </w:p>
        </w:tc>
      </w:tr>
      <w:tr w:rsidR="003738F2" w:rsidRPr="00161D65" w:rsidTr="00161D65">
        <w:tc>
          <w:tcPr>
            <w:tcW w:w="3330" w:type="dxa"/>
          </w:tcPr>
          <w:p w:rsidR="003738F2" w:rsidRPr="00800551" w:rsidRDefault="003738F2" w:rsidP="00161D65">
            <w:pPr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Last Updated Date:</w:t>
            </w:r>
          </w:p>
        </w:tc>
        <w:tc>
          <w:tcPr>
            <w:tcW w:w="7128" w:type="dxa"/>
          </w:tcPr>
          <w:p w:rsidR="003738F2" w:rsidRPr="00800551" w:rsidRDefault="00E42952" w:rsidP="00254D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2/19/2019</w:t>
            </w:r>
          </w:p>
        </w:tc>
      </w:tr>
      <w:tr w:rsidR="000B12F4" w:rsidRPr="00161D65" w:rsidTr="00161D65">
        <w:tc>
          <w:tcPr>
            <w:tcW w:w="3330" w:type="dxa"/>
          </w:tcPr>
          <w:p w:rsidR="000B12F4" w:rsidRPr="00800551" w:rsidRDefault="006105D7" w:rsidP="00C268F6">
            <w:pPr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Process</w:t>
            </w:r>
            <w:r w:rsidR="00800551" w:rsidRPr="00800551">
              <w:rPr>
                <w:rFonts w:ascii="Verdana" w:hAnsi="Verdana"/>
                <w:b/>
                <w:noProof/>
              </w:rPr>
              <w:t xml:space="preserve">:  </w:t>
            </w:r>
          </w:p>
        </w:tc>
        <w:tc>
          <w:tcPr>
            <w:tcW w:w="7128" w:type="dxa"/>
          </w:tcPr>
          <w:p w:rsidR="00140AAC" w:rsidRDefault="00140AAC" w:rsidP="00800551">
            <w:pPr>
              <w:rPr>
                <w:rFonts w:ascii="Verdana" w:hAnsi="Verdana"/>
                <w:noProof/>
              </w:rPr>
            </w:pPr>
          </w:p>
          <w:p w:rsidR="000B12F4" w:rsidRDefault="00E42952" w:rsidP="00800551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The Billing Homepage </w:t>
            </w:r>
            <w:r w:rsidR="00F82CFC">
              <w:rPr>
                <w:rFonts w:ascii="Verdana" w:hAnsi="Verdana"/>
                <w:noProof/>
              </w:rPr>
              <w:t xml:space="preserve">tiles are structured to </w:t>
            </w:r>
            <w:r>
              <w:rPr>
                <w:rFonts w:ascii="Verdana" w:hAnsi="Verdana"/>
                <w:noProof/>
              </w:rPr>
              <w:t>group</w:t>
            </w:r>
            <w:r w:rsidR="00F82CFC">
              <w:rPr>
                <w:rFonts w:ascii="Verdana" w:hAnsi="Verdana"/>
                <w:noProof/>
              </w:rPr>
              <w:t xml:space="preserve"> pages</w:t>
            </w:r>
            <w:r>
              <w:rPr>
                <w:rFonts w:ascii="Verdana" w:hAnsi="Verdana"/>
                <w:noProof/>
              </w:rPr>
              <w:t xml:space="preserve"> primarily by activity.  The </w:t>
            </w:r>
            <w:r w:rsidR="00F82CFC">
              <w:rPr>
                <w:rFonts w:ascii="Verdana" w:hAnsi="Verdana"/>
                <w:noProof/>
              </w:rPr>
              <w:t>‘</w:t>
            </w:r>
            <w:r>
              <w:rPr>
                <w:rFonts w:ascii="Verdana" w:hAnsi="Verdana"/>
                <w:noProof/>
              </w:rPr>
              <w:t>Process Billing Worksheets</w:t>
            </w:r>
            <w:r w:rsidR="00F82CFC">
              <w:rPr>
                <w:rFonts w:ascii="Verdana" w:hAnsi="Verdana"/>
                <w:noProof/>
              </w:rPr>
              <w:t>’</w:t>
            </w:r>
            <w:r w:rsidR="00114C3F">
              <w:rPr>
                <w:rFonts w:ascii="Verdana" w:hAnsi="Verdana"/>
                <w:noProof/>
              </w:rPr>
              <w:t xml:space="preserve"> tile</w:t>
            </w:r>
            <w:r>
              <w:rPr>
                <w:rFonts w:ascii="Verdana" w:hAnsi="Verdana"/>
                <w:noProof/>
              </w:rPr>
              <w:t xml:space="preserve"> is used by the agencies using Project Costing, Customer Contracts </w:t>
            </w:r>
            <w:r w:rsidRPr="00E16B28">
              <w:rPr>
                <w:rFonts w:ascii="Verdana" w:hAnsi="Verdana"/>
                <w:noProof/>
                <w:u w:val="single"/>
              </w:rPr>
              <w:t>a</w:t>
            </w:r>
            <w:r w:rsidR="00114C3F" w:rsidRPr="00E16B28">
              <w:rPr>
                <w:rFonts w:ascii="Verdana" w:hAnsi="Verdana"/>
                <w:noProof/>
                <w:u w:val="single"/>
              </w:rPr>
              <w:t>nd</w:t>
            </w:r>
            <w:r w:rsidR="00114C3F">
              <w:rPr>
                <w:rFonts w:ascii="Verdana" w:hAnsi="Verdana"/>
                <w:noProof/>
              </w:rPr>
              <w:t xml:space="preserve"> Billing</w:t>
            </w:r>
            <w:r w:rsidR="00F82CFC">
              <w:rPr>
                <w:rFonts w:ascii="Verdana" w:hAnsi="Verdana"/>
                <w:noProof/>
              </w:rPr>
              <w:t>,</w:t>
            </w:r>
            <w:r w:rsidR="00114C3F">
              <w:rPr>
                <w:rFonts w:ascii="Verdana" w:hAnsi="Verdana"/>
                <w:noProof/>
              </w:rPr>
              <w:t xml:space="preserve"> or </w:t>
            </w:r>
            <w:r w:rsidR="00F82CFC">
              <w:rPr>
                <w:rFonts w:ascii="Verdana" w:hAnsi="Verdana"/>
                <w:noProof/>
              </w:rPr>
              <w:t xml:space="preserve">those using </w:t>
            </w:r>
            <w:r w:rsidR="00114C3F">
              <w:rPr>
                <w:rFonts w:ascii="Verdana" w:hAnsi="Verdana"/>
                <w:noProof/>
              </w:rPr>
              <w:t>the Grants module</w:t>
            </w:r>
            <w:r w:rsidR="00F82CFC">
              <w:rPr>
                <w:rFonts w:ascii="Verdana" w:hAnsi="Verdana"/>
                <w:noProof/>
              </w:rPr>
              <w:t>,</w:t>
            </w:r>
            <w:r w:rsidR="00114C3F">
              <w:rPr>
                <w:rFonts w:ascii="Verdana" w:hAnsi="Verdana"/>
                <w:noProof/>
              </w:rPr>
              <w:t xml:space="preserve"> whic</w:t>
            </w:r>
            <w:r>
              <w:rPr>
                <w:rFonts w:ascii="Verdana" w:hAnsi="Verdana"/>
                <w:noProof/>
              </w:rPr>
              <w:t>h incorpor</w:t>
            </w:r>
            <w:r w:rsidR="00C956FF">
              <w:rPr>
                <w:rFonts w:ascii="Verdana" w:hAnsi="Verdana"/>
                <w:noProof/>
              </w:rPr>
              <w:t>at</w:t>
            </w:r>
            <w:r>
              <w:rPr>
                <w:rFonts w:ascii="Verdana" w:hAnsi="Verdana"/>
                <w:noProof/>
              </w:rPr>
              <w:t xml:space="preserve">es </w:t>
            </w:r>
            <w:r w:rsidR="00F82CFC">
              <w:rPr>
                <w:rFonts w:ascii="Verdana" w:hAnsi="Verdana"/>
                <w:noProof/>
              </w:rPr>
              <w:t>functionality from all the previously listed modules</w:t>
            </w:r>
            <w:r>
              <w:rPr>
                <w:rFonts w:ascii="Verdana" w:hAnsi="Verdana"/>
                <w:noProof/>
              </w:rPr>
              <w:t xml:space="preserve">.  The </w:t>
            </w:r>
            <w:r w:rsidR="00F82CFC">
              <w:rPr>
                <w:rFonts w:ascii="Verdana" w:hAnsi="Verdana"/>
                <w:noProof/>
              </w:rPr>
              <w:t>‘</w:t>
            </w:r>
            <w:r>
              <w:rPr>
                <w:rFonts w:ascii="Verdana" w:hAnsi="Verdana"/>
                <w:noProof/>
              </w:rPr>
              <w:t>Online Billing</w:t>
            </w:r>
            <w:r w:rsidR="00F82CFC">
              <w:rPr>
                <w:rFonts w:ascii="Verdana" w:hAnsi="Verdana"/>
                <w:noProof/>
              </w:rPr>
              <w:t>’</w:t>
            </w:r>
            <w:r>
              <w:rPr>
                <w:rFonts w:ascii="Verdana" w:hAnsi="Verdana"/>
                <w:noProof/>
              </w:rPr>
              <w:t xml:space="preserve"> </w:t>
            </w:r>
            <w:r w:rsidR="00114C3F">
              <w:rPr>
                <w:rFonts w:ascii="Verdana" w:hAnsi="Verdana"/>
                <w:noProof/>
              </w:rPr>
              <w:t xml:space="preserve">tile </w:t>
            </w:r>
            <w:r>
              <w:rPr>
                <w:rFonts w:ascii="Verdana" w:hAnsi="Verdana"/>
                <w:noProof/>
              </w:rPr>
              <w:t xml:space="preserve">is used by agencies who wish to invoice their customers to record the receivable in the General Ledger.  The other tiles provide analytics </w:t>
            </w:r>
            <w:r w:rsidR="00F82CFC">
              <w:rPr>
                <w:rFonts w:ascii="Verdana" w:hAnsi="Verdana"/>
                <w:noProof/>
              </w:rPr>
              <w:t>at-</w:t>
            </w:r>
            <w:r>
              <w:rPr>
                <w:rFonts w:ascii="Verdana" w:hAnsi="Verdana"/>
                <w:noProof/>
              </w:rPr>
              <w:t>a</w:t>
            </w:r>
            <w:r w:rsidR="00F82CFC">
              <w:rPr>
                <w:rFonts w:ascii="Verdana" w:hAnsi="Verdana"/>
                <w:noProof/>
              </w:rPr>
              <w:t>-</w:t>
            </w:r>
            <w:r>
              <w:rPr>
                <w:rFonts w:ascii="Verdana" w:hAnsi="Verdana"/>
                <w:noProof/>
              </w:rPr>
              <w:t>glance, the WorkCenters, job aids, and utilities.</w:t>
            </w:r>
          </w:p>
          <w:p w:rsidR="00140AAC" w:rsidRPr="00800551" w:rsidRDefault="00140AAC" w:rsidP="00800551">
            <w:pPr>
              <w:rPr>
                <w:rFonts w:ascii="Verdana" w:hAnsi="Verdana"/>
                <w:noProof/>
              </w:rPr>
            </w:pPr>
          </w:p>
        </w:tc>
      </w:tr>
      <w:tr w:rsidR="000B12F4" w:rsidRPr="00161D65" w:rsidTr="00140AAC">
        <w:trPr>
          <w:trHeight w:val="278"/>
        </w:trPr>
        <w:tc>
          <w:tcPr>
            <w:tcW w:w="3330" w:type="dxa"/>
          </w:tcPr>
          <w:p w:rsidR="000B12F4" w:rsidRPr="00800551" w:rsidRDefault="000B12F4" w:rsidP="0001126C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7128" w:type="dxa"/>
          </w:tcPr>
          <w:p w:rsidR="000B12F4" w:rsidRPr="00800551" w:rsidRDefault="000B12F4" w:rsidP="00800551">
            <w:pPr>
              <w:rPr>
                <w:rFonts w:ascii="Verdana" w:hAnsi="Verdana"/>
                <w:noProof/>
              </w:rPr>
            </w:pPr>
          </w:p>
        </w:tc>
      </w:tr>
      <w:tr w:rsidR="000B12F4" w:rsidRPr="00161D65" w:rsidTr="00161D65">
        <w:tc>
          <w:tcPr>
            <w:tcW w:w="3330" w:type="dxa"/>
          </w:tcPr>
          <w:p w:rsidR="00F82CFC" w:rsidRPr="00E16B28" w:rsidRDefault="00F82CFC" w:rsidP="000A7AE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Billing Homepage:</w:t>
            </w:r>
          </w:p>
          <w:p w:rsidR="000B12F4" w:rsidRDefault="00114C3F" w:rsidP="000A7AE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The tiles specific to the Billing Homepages are shown at the right.</w:t>
            </w:r>
          </w:p>
          <w:p w:rsidR="00BD7387" w:rsidRDefault="00BD7387" w:rsidP="000A7AED">
            <w:pPr>
              <w:rPr>
                <w:rFonts w:ascii="Verdana" w:hAnsi="Verdana"/>
                <w:noProof/>
              </w:rPr>
            </w:pPr>
          </w:p>
          <w:p w:rsidR="00465373" w:rsidRDefault="00465373" w:rsidP="000A7AED">
            <w:pPr>
              <w:rPr>
                <w:rFonts w:ascii="Verdana" w:hAnsi="Verdana"/>
                <w:noProof/>
              </w:rPr>
            </w:pPr>
          </w:p>
          <w:p w:rsidR="00465373" w:rsidRDefault="00465373" w:rsidP="000A7AED">
            <w:pPr>
              <w:rPr>
                <w:rFonts w:ascii="Verdana" w:hAnsi="Verdana"/>
                <w:noProof/>
              </w:rPr>
            </w:pPr>
          </w:p>
          <w:p w:rsidR="00465373" w:rsidRDefault="00465373" w:rsidP="000A7AED">
            <w:pPr>
              <w:rPr>
                <w:rFonts w:ascii="Verdana" w:hAnsi="Verdana"/>
                <w:noProof/>
              </w:rPr>
            </w:pPr>
          </w:p>
          <w:p w:rsidR="00465373" w:rsidRDefault="00465373" w:rsidP="000A7AED">
            <w:pPr>
              <w:rPr>
                <w:rFonts w:ascii="Verdana" w:hAnsi="Verdana"/>
                <w:noProof/>
              </w:rPr>
            </w:pPr>
          </w:p>
          <w:p w:rsidR="00465373" w:rsidRDefault="00465373" w:rsidP="000A7AED">
            <w:pPr>
              <w:rPr>
                <w:rFonts w:ascii="Verdana" w:hAnsi="Verdana"/>
                <w:noProof/>
              </w:rPr>
            </w:pPr>
          </w:p>
          <w:p w:rsidR="00465373" w:rsidRDefault="00465373" w:rsidP="000A7AED">
            <w:pPr>
              <w:rPr>
                <w:rFonts w:ascii="Verdana" w:hAnsi="Verdana"/>
                <w:noProof/>
              </w:rPr>
            </w:pPr>
          </w:p>
          <w:p w:rsidR="00465373" w:rsidRDefault="00465373" w:rsidP="000A7AED">
            <w:pPr>
              <w:rPr>
                <w:rFonts w:ascii="Verdana" w:hAnsi="Verdana"/>
                <w:noProof/>
              </w:rPr>
            </w:pPr>
          </w:p>
          <w:p w:rsidR="00465373" w:rsidRDefault="00465373" w:rsidP="000A7AED">
            <w:pPr>
              <w:rPr>
                <w:rFonts w:ascii="Verdana" w:hAnsi="Verdana"/>
                <w:noProof/>
              </w:rPr>
            </w:pPr>
          </w:p>
          <w:p w:rsidR="00BD7387" w:rsidRPr="00E42952" w:rsidRDefault="00465373" w:rsidP="000A7AE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Note:  </w:t>
            </w:r>
            <w:r w:rsidR="00BD7387">
              <w:rPr>
                <w:rFonts w:ascii="Verdana" w:hAnsi="Verdana"/>
                <w:noProof/>
              </w:rPr>
              <w:t>Depending on what device or browser is being used, the tiles may display di</w:t>
            </w:r>
            <w:r>
              <w:rPr>
                <w:rFonts w:ascii="Verdana" w:hAnsi="Verdana"/>
                <w:noProof/>
              </w:rPr>
              <w:t>fferently.  A user may need to scroll to the left, right, up, or down to access the tile desired.</w:t>
            </w:r>
          </w:p>
        </w:tc>
        <w:tc>
          <w:tcPr>
            <w:tcW w:w="7128" w:type="dxa"/>
          </w:tcPr>
          <w:p w:rsidR="000B12F4" w:rsidRPr="00800551" w:rsidRDefault="00114C3F" w:rsidP="00800551">
            <w:pPr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33FB7EFC" wp14:editId="72B0FCF4">
                  <wp:extent cx="4499514" cy="3752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1892" cy="3763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AED" w:rsidRPr="00161D65" w:rsidTr="00161D65">
        <w:tc>
          <w:tcPr>
            <w:tcW w:w="3330" w:type="dxa"/>
          </w:tcPr>
          <w:p w:rsidR="000A7AED" w:rsidRDefault="000A7AED" w:rsidP="000A7AED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7128" w:type="dxa"/>
          </w:tcPr>
          <w:p w:rsidR="000A7AED" w:rsidRPr="0096757B" w:rsidRDefault="000A7AED" w:rsidP="00800551">
            <w:pPr>
              <w:rPr>
                <w:noProof/>
              </w:rPr>
            </w:pPr>
          </w:p>
        </w:tc>
      </w:tr>
      <w:tr w:rsidR="000A7AED" w:rsidRPr="00161D65" w:rsidTr="00161D65">
        <w:tc>
          <w:tcPr>
            <w:tcW w:w="3330" w:type="dxa"/>
          </w:tcPr>
          <w:p w:rsidR="00F82CFC" w:rsidRPr="00E16B28" w:rsidRDefault="00F82CFC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lastRenderedPageBreak/>
              <w:t>Billing Manager Dashboard</w:t>
            </w:r>
          </w:p>
          <w:p w:rsidR="00114C3F" w:rsidRDefault="00114C3F" w:rsidP="00C77DA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The Billing Manager Dashboard provides a graphical display.  Select the graph to set up </w:t>
            </w:r>
            <w:r w:rsidR="00F82CFC">
              <w:rPr>
                <w:rFonts w:ascii="Verdana" w:hAnsi="Verdana"/>
                <w:noProof/>
              </w:rPr>
              <w:t xml:space="preserve">its </w:t>
            </w:r>
            <w:r>
              <w:rPr>
                <w:rFonts w:ascii="Verdana" w:hAnsi="Verdana"/>
                <w:noProof/>
              </w:rPr>
              <w:t xml:space="preserve">properties.  Click the blue rectangle with the || icon.  Enter the </w:t>
            </w:r>
            <w:r w:rsidR="00F82CFC">
              <w:rPr>
                <w:rFonts w:ascii="Verdana" w:hAnsi="Verdana"/>
                <w:noProof/>
              </w:rPr>
              <w:t xml:space="preserve">following </w:t>
            </w:r>
            <w:r>
              <w:rPr>
                <w:rFonts w:ascii="Verdana" w:hAnsi="Verdana"/>
                <w:noProof/>
              </w:rPr>
              <w:t>information:</w:t>
            </w:r>
          </w:p>
          <w:p w:rsidR="00114C3F" w:rsidRDefault="00114C3F" w:rsidP="00C77DAD">
            <w:pPr>
              <w:rPr>
                <w:rFonts w:ascii="Verdana" w:hAnsi="Verdana"/>
                <w:noProof/>
              </w:rPr>
            </w:pPr>
          </w:p>
          <w:p w:rsidR="00114C3F" w:rsidRPr="00E16B28" w:rsidRDefault="00114C3F" w:rsidP="00C77DAD">
            <w:pPr>
              <w:rPr>
                <w:rFonts w:ascii="Verdana" w:hAnsi="Verdana"/>
                <w:i/>
                <w:noProof/>
              </w:rPr>
            </w:pPr>
            <w:r w:rsidRPr="00E16B28">
              <w:rPr>
                <w:rFonts w:ascii="Verdana" w:hAnsi="Verdana"/>
                <w:i/>
                <w:noProof/>
              </w:rPr>
              <w:t>Business Unit</w:t>
            </w:r>
          </w:p>
          <w:p w:rsidR="00114C3F" w:rsidRPr="00E16B28" w:rsidRDefault="00114C3F" w:rsidP="00C77DAD">
            <w:pPr>
              <w:rPr>
                <w:rFonts w:ascii="Verdana" w:hAnsi="Verdana"/>
                <w:i/>
                <w:noProof/>
              </w:rPr>
            </w:pPr>
            <w:r w:rsidRPr="00E16B28">
              <w:rPr>
                <w:rFonts w:ascii="Verdana" w:hAnsi="Verdana"/>
                <w:i/>
                <w:noProof/>
              </w:rPr>
              <w:t>Date Option</w:t>
            </w:r>
          </w:p>
          <w:p w:rsidR="000A7AED" w:rsidRPr="00E16B28" w:rsidRDefault="00114C3F" w:rsidP="00C77DAD">
            <w:pPr>
              <w:rPr>
                <w:rFonts w:ascii="Verdana" w:hAnsi="Verdana"/>
                <w:i/>
                <w:noProof/>
              </w:rPr>
            </w:pPr>
            <w:r w:rsidRPr="00E16B28">
              <w:rPr>
                <w:rFonts w:ascii="Verdana" w:hAnsi="Verdana"/>
                <w:i/>
                <w:noProof/>
              </w:rPr>
              <w:t>Number of Months</w:t>
            </w:r>
          </w:p>
          <w:p w:rsidR="00114C3F" w:rsidRDefault="00114C3F" w:rsidP="00C77DAD">
            <w:pPr>
              <w:rPr>
                <w:rFonts w:ascii="Verdana" w:hAnsi="Verdana"/>
                <w:noProof/>
              </w:rPr>
            </w:pPr>
            <w:r w:rsidRPr="00E16B28">
              <w:rPr>
                <w:rFonts w:ascii="Verdana" w:hAnsi="Verdana"/>
                <w:i/>
                <w:noProof/>
              </w:rPr>
              <w:t>Ending Date</w:t>
            </w:r>
          </w:p>
          <w:p w:rsidR="00114C3F" w:rsidRDefault="00114C3F" w:rsidP="00C77DAD">
            <w:pPr>
              <w:rPr>
                <w:rFonts w:ascii="Verdana" w:hAnsi="Verdana"/>
                <w:noProof/>
              </w:rPr>
            </w:pPr>
          </w:p>
          <w:p w:rsidR="00465373" w:rsidRDefault="00114C3F" w:rsidP="00C77DA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Click Search.</w:t>
            </w:r>
            <w:r w:rsidR="004607B4">
              <w:rPr>
                <w:rFonts w:ascii="Verdana" w:hAnsi="Verdana"/>
                <w:noProof/>
              </w:rPr>
              <w:t xml:space="preserve">  </w:t>
            </w:r>
          </w:p>
          <w:p w:rsidR="00465373" w:rsidRDefault="00465373" w:rsidP="00C77DAD">
            <w:pPr>
              <w:rPr>
                <w:rFonts w:ascii="Verdana" w:hAnsi="Verdana"/>
                <w:noProof/>
              </w:rPr>
            </w:pPr>
          </w:p>
          <w:p w:rsidR="00140AAC" w:rsidRDefault="00140AAC" w:rsidP="00C77DAD">
            <w:pPr>
              <w:rPr>
                <w:rFonts w:ascii="Verdana" w:hAnsi="Verdana"/>
                <w:noProof/>
              </w:rPr>
            </w:pPr>
          </w:p>
          <w:p w:rsidR="00140AAC" w:rsidRDefault="00140AAC" w:rsidP="00C77DAD">
            <w:pPr>
              <w:rPr>
                <w:rFonts w:ascii="Verdana" w:hAnsi="Verdana"/>
                <w:noProof/>
              </w:rPr>
            </w:pPr>
          </w:p>
          <w:p w:rsidR="00140AAC" w:rsidRDefault="00140AAC" w:rsidP="00C77DAD">
            <w:pPr>
              <w:rPr>
                <w:rFonts w:ascii="Verdana" w:hAnsi="Verdana"/>
                <w:noProof/>
              </w:rPr>
            </w:pPr>
          </w:p>
          <w:p w:rsidR="00114C3F" w:rsidRPr="000A7AED" w:rsidRDefault="004607B4" w:rsidP="00C77DA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Select the gear on the right to save the entries.  </w:t>
            </w:r>
          </w:p>
        </w:tc>
        <w:tc>
          <w:tcPr>
            <w:tcW w:w="7128" w:type="dxa"/>
          </w:tcPr>
          <w:p w:rsidR="00140AAC" w:rsidRDefault="00140AAC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F254FA" wp14:editId="214C4C8E">
                  <wp:extent cx="4389120" cy="168084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0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0AAC" w:rsidRDefault="00140AAC" w:rsidP="00800551">
            <w:pPr>
              <w:rPr>
                <w:noProof/>
              </w:rPr>
            </w:pPr>
          </w:p>
          <w:p w:rsidR="00140AAC" w:rsidRDefault="00140AAC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1AFF6F" wp14:editId="33824376">
                  <wp:extent cx="4389120" cy="177355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0" cy="177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0AAC" w:rsidRDefault="00140AAC" w:rsidP="00800551">
            <w:pPr>
              <w:rPr>
                <w:noProof/>
              </w:rPr>
            </w:pPr>
          </w:p>
          <w:p w:rsidR="000A7AED" w:rsidRPr="0096757B" w:rsidRDefault="004607B4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83B1F0" wp14:editId="2E52CB4A">
                  <wp:extent cx="4480503" cy="20859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9824" cy="2104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9D6" w:rsidRPr="00161D65" w:rsidTr="00161D65">
        <w:tc>
          <w:tcPr>
            <w:tcW w:w="3330" w:type="dxa"/>
          </w:tcPr>
          <w:p w:rsidR="005D69D6" w:rsidRPr="000A7AED" w:rsidRDefault="005D69D6" w:rsidP="005D69D6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5D69D6" w:rsidRPr="0096757B" w:rsidRDefault="005D69D6" w:rsidP="00800551">
            <w:pPr>
              <w:rPr>
                <w:noProof/>
              </w:rPr>
            </w:pPr>
          </w:p>
        </w:tc>
      </w:tr>
      <w:tr w:rsidR="005D69D6" w:rsidRPr="00161D65" w:rsidTr="00161D65">
        <w:tc>
          <w:tcPr>
            <w:tcW w:w="3330" w:type="dxa"/>
          </w:tcPr>
          <w:p w:rsidR="00CD3425" w:rsidRDefault="004607B4" w:rsidP="00C77DA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Click the blue rectangle with the || icon to collapse the side window.</w:t>
            </w:r>
            <w:r w:rsidR="00BD7387">
              <w:rPr>
                <w:rFonts w:ascii="Verdana" w:hAnsi="Verdana"/>
                <w:noProof/>
              </w:rPr>
              <w:t xml:space="preserve">  The graph will display </w:t>
            </w:r>
            <w:r w:rsidR="00F82CFC">
              <w:rPr>
                <w:rFonts w:ascii="Verdana" w:hAnsi="Verdana"/>
                <w:noProof/>
              </w:rPr>
              <w:t xml:space="preserve">along with </w:t>
            </w:r>
            <w:r w:rsidR="00C956FF">
              <w:rPr>
                <w:rFonts w:ascii="Verdana" w:hAnsi="Verdana"/>
                <w:noProof/>
              </w:rPr>
              <w:t>the supporting data</w:t>
            </w:r>
            <w:r>
              <w:rPr>
                <w:rFonts w:ascii="Verdana" w:hAnsi="Verdana"/>
                <w:noProof/>
              </w:rPr>
              <w:t xml:space="preserve">.  </w:t>
            </w:r>
          </w:p>
          <w:p w:rsidR="00CD3425" w:rsidRDefault="00CD3425" w:rsidP="00C77DAD">
            <w:pPr>
              <w:rPr>
                <w:rFonts w:ascii="Verdana" w:hAnsi="Verdana"/>
                <w:noProof/>
              </w:rPr>
            </w:pPr>
          </w:p>
          <w:p w:rsidR="00CD3425" w:rsidRDefault="00CD3425" w:rsidP="00C77DAD">
            <w:pPr>
              <w:rPr>
                <w:rFonts w:ascii="Verdana" w:hAnsi="Verdana"/>
                <w:noProof/>
              </w:rPr>
            </w:pPr>
          </w:p>
          <w:p w:rsidR="00CD3425" w:rsidRDefault="00CD3425" w:rsidP="00C77DAD">
            <w:pPr>
              <w:rPr>
                <w:rFonts w:ascii="Verdana" w:hAnsi="Verdana"/>
                <w:noProof/>
              </w:rPr>
            </w:pPr>
          </w:p>
          <w:p w:rsidR="005D69D6" w:rsidRDefault="004607B4" w:rsidP="00C77DA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Clic</w:t>
            </w:r>
            <w:r w:rsidR="00BD7387">
              <w:rPr>
                <w:rFonts w:ascii="Verdana" w:hAnsi="Verdana"/>
                <w:noProof/>
              </w:rPr>
              <w:t>k</w:t>
            </w:r>
            <w:r>
              <w:rPr>
                <w:rFonts w:ascii="Verdana" w:hAnsi="Verdana"/>
                <w:noProof/>
              </w:rPr>
              <w:t xml:space="preserve"> any of the amounts </w:t>
            </w:r>
            <w:r w:rsidR="00F82CFC">
              <w:rPr>
                <w:rFonts w:ascii="Verdana" w:hAnsi="Verdana"/>
                <w:noProof/>
              </w:rPr>
              <w:t xml:space="preserve">to </w:t>
            </w:r>
            <w:r>
              <w:rPr>
                <w:rFonts w:ascii="Verdana" w:hAnsi="Verdana"/>
                <w:noProof/>
              </w:rPr>
              <w:t xml:space="preserve">open another window </w:t>
            </w:r>
            <w:r w:rsidR="00F82CFC">
              <w:rPr>
                <w:rFonts w:ascii="Verdana" w:hAnsi="Verdana"/>
                <w:noProof/>
              </w:rPr>
              <w:t xml:space="preserve">and </w:t>
            </w:r>
            <w:r>
              <w:rPr>
                <w:rFonts w:ascii="Verdana" w:hAnsi="Verdana"/>
                <w:noProof/>
              </w:rPr>
              <w:t xml:space="preserve">drill into the </w:t>
            </w:r>
            <w:r w:rsidR="00F82CFC">
              <w:rPr>
                <w:rFonts w:ascii="Verdana" w:hAnsi="Verdana"/>
                <w:noProof/>
              </w:rPr>
              <w:t>detail</w:t>
            </w:r>
            <w:r w:rsidR="00CD3425">
              <w:rPr>
                <w:rFonts w:ascii="Verdana" w:hAnsi="Verdana"/>
                <w:noProof/>
              </w:rPr>
              <w:t>.</w:t>
            </w:r>
          </w:p>
          <w:p w:rsidR="00CD3425" w:rsidRDefault="00CD3425" w:rsidP="00C77DAD">
            <w:pPr>
              <w:rPr>
                <w:rFonts w:ascii="Verdana" w:hAnsi="Verdana"/>
                <w:noProof/>
              </w:rPr>
            </w:pPr>
          </w:p>
          <w:p w:rsidR="00CD3425" w:rsidRDefault="00CD3425" w:rsidP="00C77DAD">
            <w:pPr>
              <w:rPr>
                <w:rFonts w:ascii="Verdana" w:hAnsi="Verdana"/>
                <w:noProof/>
              </w:rPr>
            </w:pPr>
          </w:p>
          <w:p w:rsidR="00E16B28" w:rsidRDefault="00E16B28" w:rsidP="00C77DAD">
            <w:pPr>
              <w:rPr>
                <w:rFonts w:ascii="Verdana" w:hAnsi="Verdana"/>
                <w:noProof/>
              </w:rPr>
            </w:pPr>
          </w:p>
          <w:p w:rsidR="00E16B28" w:rsidRDefault="00E16B28" w:rsidP="00C77DAD">
            <w:pPr>
              <w:rPr>
                <w:rFonts w:ascii="Verdana" w:hAnsi="Verdana"/>
                <w:noProof/>
              </w:rPr>
            </w:pPr>
          </w:p>
          <w:p w:rsidR="00E16B28" w:rsidRDefault="00E16B28" w:rsidP="00C77DAD">
            <w:pPr>
              <w:rPr>
                <w:rFonts w:ascii="Verdana" w:hAnsi="Verdana"/>
                <w:noProof/>
              </w:rPr>
            </w:pPr>
          </w:p>
          <w:p w:rsidR="00E16B28" w:rsidRDefault="00E16B28" w:rsidP="00C77DAD">
            <w:pPr>
              <w:rPr>
                <w:rFonts w:ascii="Verdana" w:hAnsi="Verdana"/>
                <w:noProof/>
              </w:rPr>
            </w:pPr>
          </w:p>
          <w:p w:rsidR="00CD3425" w:rsidRPr="000A7AED" w:rsidRDefault="00CD3425" w:rsidP="00C77DA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Click the </w:t>
            </w:r>
            <w:r w:rsidRPr="00E16B28">
              <w:rPr>
                <w:rFonts w:ascii="Verdana" w:hAnsi="Verdana"/>
                <w:i/>
                <w:noProof/>
              </w:rPr>
              <w:t>&lt; Billing</w:t>
            </w:r>
            <w:r>
              <w:rPr>
                <w:rFonts w:ascii="Verdana" w:hAnsi="Verdana"/>
                <w:noProof/>
              </w:rPr>
              <w:t xml:space="preserve"> </w:t>
            </w:r>
            <w:r w:rsidR="00F82CFC">
              <w:rPr>
                <w:rFonts w:ascii="Verdana" w:hAnsi="Verdana"/>
                <w:noProof/>
              </w:rPr>
              <w:t xml:space="preserve">button </w:t>
            </w:r>
            <w:r>
              <w:rPr>
                <w:rFonts w:ascii="Verdana" w:hAnsi="Verdana"/>
                <w:noProof/>
              </w:rPr>
              <w:t>on the upper left to return to the homepage tiles.  The Billing Manager Dashboard will now show the graph created.</w:t>
            </w:r>
          </w:p>
        </w:tc>
        <w:tc>
          <w:tcPr>
            <w:tcW w:w="7128" w:type="dxa"/>
          </w:tcPr>
          <w:p w:rsidR="005D69D6" w:rsidRDefault="004607B4" w:rsidP="00800551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7B0C81C" wp14:editId="1B9A9210">
                  <wp:extent cx="3824605" cy="1750730"/>
                  <wp:effectExtent l="0" t="0" r="4445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9960" cy="1771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07B4" w:rsidRDefault="004607B4" w:rsidP="00800551">
            <w:pPr>
              <w:rPr>
                <w:noProof/>
              </w:rPr>
            </w:pPr>
          </w:p>
          <w:p w:rsidR="004607B4" w:rsidRDefault="004607B4" w:rsidP="00800551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8297B4E" wp14:editId="2CC21260">
                  <wp:extent cx="4389120" cy="1235075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0" cy="123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3425" w:rsidRDefault="00CD3425" w:rsidP="00800551">
            <w:pPr>
              <w:rPr>
                <w:noProof/>
              </w:rPr>
            </w:pPr>
          </w:p>
          <w:p w:rsidR="00CD3425" w:rsidRPr="0096757B" w:rsidRDefault="00CD3425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F45409" wp14:editId="74017AB4">
                  <wp:extent cx="3600450" cy="1668057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56" cy="1706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425" w:rsidRPr="00161D65" w:rsidTr="00161D65">
        <w:tc>
          <w:tcPr>
            <w:tcW w:w="3330" w:type="dxa"/>
          </w:tcPr>
          <w:p w:rsidR="00CD3425" w:rsidRDefault="00CD3425" w:rsidP="00C77DAD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CD3425" w:rsidRDefault="00CD3425" w:rsidP="00800551">
            <w:pPr>
              <w:rPr>
                <w:noProof/>
              </w:rPr>
            </w:pPr>
          </w:p>
        </w:tc>
      </w:tr>
      <w:tr w:rsidR="00CD3425" w:rsidRPr="00161D65" w:rsidTr="00161D65">
        <w:tc>
          <w:tcPr>
            <w:tcW w:w="3330" w:type="dxa"/>
          </w:tcPr>
          <w:p w:rsidR="00F82CFC" w:rsidRPr="00E16B28" w:rsidRDefault="00F82CFC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WorkCenters</w:t>
            </w:r>
          </w:p>
          <w:p w:rsidR="00CD3BF6" w:rsidRDefault="00CD3BF6" w:rsidP="00C77DAD">
            <w:pPr>
              <w:rPr>
                <w:rFonts w:ascii="Verdana" w:hAnsi="Verdana"/>
                <w:noProof/>
              </w:rPr>
            </w:pPr>
          </w:p>
          <w:p w:rsidR="00CD3BF6" w:rsidRDefault="00CD3BF6" w:rsidP="00C77DAD">
            <w:pPr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7927087D" wp14:editId="697D8C75">
                  <wp:extent cx="1891083" cy="153352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638" cy="154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7A5B" w:rsidRDefault="00067A5B" w:rsidP="00C77DAD">
            <w:pPr>
              <w:rPr>
                <w:rFonts w:ascii="Verdana" w:hAnsi="Verdana"/>
                <w:noProof/>
              </w:rPr>
            </w:pPr>
          </w:p>
          <w:p w:rsidR="00067A5B" w:rsidRDefault="00067A5B" w:rsidP="00067A5B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Clicking on the WorkCenters tile will display the tiles for all WorkCenters that may be useful to those currently using the Billing module.</w:t>
            </w:r>
          </w:p>
          <w:p w:rsidR="00067A5B" w:rsidRDefault="00067A5B" w:rsidP="00C77DAD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140AAC" w:rsidRDefault="00140AAC" w:rsidP="00800551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:rsidR="00CD3425" w:rsidRDefault="00140AAC" w:rsidP="00800551">
            <w:pPr>
              <w:rPr>
                <w:noProof/>
              </w:rPr>
            </w:pPr>
            <w:r>
              <w:rPr>
                <w:noProof/>
              </w:rPr>
              <w:t xml:space="preserve">                               </w:t>
            </w:r>
            <w:r w:rsidR="00BD7387">
              <w:rPr>
                <w:noProof/>
              </w:rPr>
              <w:drawing>
                <wp:inline distT="0" distB="0" distL="0" distR="0" wp14:anchorId="4A2E0B2B" wp14:editId="51752260">
                  <wp:extent cx="4393523" cy="253365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3208" cy="2591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373" w:rsidRPr="00161D65" w:rsidTr="00161D65">
        <w:tc>
          <w:tcPr>
            <w:tcW w:w="3330" w:type="dxa"/>
          </w:tcPr>
          <w:p w:rsidR="00465373" w:rsidRDefault="00465373" w:rsidP="00C77DAD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465373" w:rsidRDefault="00465373" w:rsidP="00800551">
            <w:pPr>
              <w:rPr>
                <w:noProof/>
              </w:rPr>
            </w:pPr>
          </w:p>
        </w:tc>
      </w:tr>
      <w:tr w:rsidR="00465373" w:rsidRPr="00161D65" w:rsidTr="00161D65">
        <w:tc>
          <w:tcPr>
            <w:tcW w:w="3330" w:type="dxa"/>
          </w:tcPr>
          <w:p w:rsidR="00F82CFC" w:rsidRPr="00E16B28" w:rsidRDefault="00F82CFC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lastRenderedPageBreak/>
              <w:t>Billing WorkCenter</w:t>
            </w:r>
          </w:p>
          <w:p w:rsidR="00140AAC" w:rsidRDefault="00140AAC" w:rsidP="00C77DAD">
            <w:pPr>
              <w:rPr>
                <w:rFonts w:ascii="Verdana" w:hAnsi="Verdana"/>
                <w:noProof/>
              </w:rPr>
            </w:pPr>
          </w:p>
          <w:p w:rsidR="00465373" w:rsidRDefault="00B249D0" w:rsidP="00C77DA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The Billing WorkCenter </w:t>
            </w:r>
            <w:r w:rsidR="00C7261B">
              <w:rPr>
                <w:rFonts w:ascii="Verdana" w:hAnsi="Verdana"/>
                <w:noProof/>
              </w:rPr>
              <w:t xml:space="preserve">is the FLUID version.  </w:t>
            </w:r>
            <w:r w:rsidR="0096502C">
              <w:rPr>
                <w:rFonts w:ascii="Verdana" w:hAnsi="Verdana"/>
                <w:noProof/>
              </w:rPr>
              <w:t xml:space="preserve">The primary difference is </w:t>
            </w:r>
            <w:r w:rsidR="00F82CFC">
              <w:rPr>
                <w:rFonts w:ascii="Verdana" w:hAnsi="Verdana"/>
                <w:noProof/>
              </w:rPr>
              <w:t xml:space="preserve">that </w:t>
            </w:r>
            <w:r w:rsidR="0096502C">
              <w:rPr>
                <w:rFonts w:ascii="Verdana" w:hAnsi="Verdana"/>
                <w:noProof/>
              </w:rPr>
              <w:t xml:space="preserve">all groups are now in the left window without the tabs.  The same sections still exist </w:t>
            </w:r>
            <w:r w:rsidR="00F82CFC">
              <w:rPr>
                <w:rFonts w:ascii="Verdana" w:hAnsi="Verdana"/>
                <w:noProof/>
              </w:rPr>
              <w:t>(</w:t>
            </w:r>
            <w:r w:rsidR="0096502C">
              <w:rPr>
                <w:rFonts w:ascii="Verdana" w:hAnsi="Verdana"/>
                <w:noProof/>
              </w:rPr>
              <w:t>My Work, Links, Queries, and Reports/Processes</w:t>
            </w:r>
            <w:r w:rsidR="00F82CFC">
              <w:rPr>
                <w:rFonts w:ascii="Verdana" w:hAnsi="Verdana"/>
                <w:noProof/>
              </w:rPr>
              <w:t>)</w:t>
            </w:r>
            <w:r w:rsidR="0096502C">
              <w:rPr>
                <w:rFonts w:ascii="Verdana" w:hAnsi="Verdana"/>
                <w:noProof/>
              </w:rPr>
              <w:t>.  The sections can be expanded</w:t>
            </w:r>
            <w:r w:rsidR="00F82CFC">
              <w:rPr>
                <w:rFonts w:ascii="Verdana" w:hAnsi="Verdana"/>
                <w:noProof/>
              </w:rPr>
              <w:t>,</w:t>
            </w:r>
            <w:r w:rsidR="0096502C">
              <w:rPr>
                <w:rFonts w:ascii="Verdana" w:hAnsi="Verdana"/>
                <w:noProof/>
              </w:rPr>
              <w:t xml:space="preserve"> or collapsed</w:t>
            </w:r>
            <w:r w:rsidR="00F82CFC">
              <w:rPr>
                <w:rFonts w:ascii="Verdana" w:hAnsi="Verdana"/>
                <w:noProof/>
              </w:rPr>
              <w:t>,</w:t>
            </w:r>
            <w:r w:rsidR="0096502C">
              <w:rPr>
                <w:rFonts w:ascii="Verdana" w:hAnsi="Verdana"/>
                <w:noProof/>
              </w:rPr>
              <w:t xml:space="preserve"> as needed.  The Queries section provides many of the queries specific to Billing. </w:t>
            </w:r>
          </w:p>
        </w:tc>
        <w:tc>
          <w:tcPr>
            <w:tcW w:w="7128" w:type="dxa"/>
          </w:tcPr>
          <w:p w:rsidR="00465373" w:rsidRDefault="00C7261B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49FA69" wp14:editId="67770290">
                  <wp:extent cx="6696463" cy="2714625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4846" cy="273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02C" w:rsidRPr="00161D65" w:rsidTr="00161D65">
        <w:tc>
          <w:tcPr>
            <w:tcW w:w="3330" w:type="dxa"/>
          </w:tcPr>
          <w:p w:rsidR="0096502C" w:rsidRDefault="0096502C" w:rsidP="00C77DAD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96502C" w:rsidRDefault="0096502C" w:rsidP="00800551">
            <w:pPr>
              <w:rPr>
                <w:noProof/>
              </w:rPr>
            </w:pPr>
          </w:p>
        </w:tc>
      </w:tr>
      <w:tr w:rsidR="0096502C" w:rsidRPr="00161D65" w:rsidTr="00161D65">
        <w:tc>
          <w:tcPr>
            <w:tcW w:w="3330" w:type="dxa"/>
          </w:tcPr>
          <w:p w:rsidR="0096502C" w:rsidRDefault="00F82CFC" w:rsidP="00C77DA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Use </w:t>
            </w:r>
            <w:r w:rsidR="0096502C">
              <w:rPr>
                <w:rFonts w:ascii="Verdana" w:hAnsi="Verdana"/>
                <w:noProof/>
              </w:rPr>
              <w:t xml:space="preserve">the &lt; (followed by the name of the previous page) in the upper left corner </w:t>
            </w:r>
            <w:r>
              <w:rPr>
                <w:rFonts w:ascii="Verdana" w:hAnsi="Verdana"/>
                <w:noProof/>
              </w:rPr>
              <w:t>to go</w:t>
            </w:r>
            <w:r w:rsidR="0096502C">
              <w:rPr>
                <w:rFonts w:ascii="Verdana" w:hAnsi="Verdana"/>
                <w:noProof/>
              </w:rPr>
              <w:t xml:space="preserve"> back to the Billing homepage.</w:t>
            </w:r>
          </w:p>
        </w:tc>
        <w:tc>
          <w:tcPr>
            <w:tcW w:w="7128" w:type="dxa"/>
          </w:tcPr>
          <w:p w:rsidR="0096502C" w:rsidRDefault="0096502C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61A4FE" wp14:editId="3BF65EBC">
                  <wp:extent cx="5885443" cy="2657475"/>
                  <wp:effectExtent l="0" t="0" r="127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9964" cy="270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02C" w:rsidRPr="00161D65" w:rsidTr="00161D65">
        <w:tc>
          <w:tcPr>
            <w:tcW w:w="3330" w:type="dxa"/>
          </w:tcPr>
          <w:p w:rsidR="0096502C" w:rsidRDefault="0096502C" w:rsidP="00C77DAD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96502C" w:rsidRDefault="0096502C" w:rsidP="00800551">
            <w:pPr>
              <w:rPr>
                <w:noProof/>
              </w:rPr>
            </w:pPr>
          </w:p>
        </w:tc>
      </w:tr>
      <w:tr w:rsidR="0096502C" w:rsidRPr="00161D65" w:rsidTr="00161D65">
        <w:tc>
          <w:tcPr>
            <w:tcW w:w="3330" w:type="dxa"/>
          </w:tcPr>
          <w:p w:rsidR="00F82CFC" w:rsidRDefault="00F82CFC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lastRenderedPageBreak/>
              <w:t>Process Billing Worksheets</w:t>
            </w:r>
          </w:p>
          <w:p w:rsidR="00067A5B" w:rsidRDefault="00067A5B" w:rsidP="00C77DAD">
            <w:pPr>
              <w:rPr>
                <w:rFonts w:ascii="Verdana" w:hAnsi="Verdana"/>
                <w:b/>
                <w:noProof/>
              </w:rPr>
            </w:pPr>
          </w:p>
          <w:p w:rsidR="00067A5B" w:rsidRPr="00E16B28" w:rsidRDefault="00067A5B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0E4087A1" wp14:editId="5C9FD599">
                  <wp:extent cx="2004029" cy="157162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922" cy="1609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7A5B" w:rsidRDefault="00067A5B" w:rsidP="00C77DAD">
            <w:pPr>
              <w:rPr>
                <w:rFonts w:ascii="Verdana" w:hAnsi="Verdana"/>
                <w:noProof/>
              </w:rPr>
            </w:pPr>
          </w:p>
          <w:p w:rsidR="0096502C" w:rsidRDefault="0096502C" w:rsidP="00C77DA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Select the Process Billing Worksheets tile </w:t>
            </w:r>
            <w:r w:rsidR="00F82CFC">
              <w:rPr>
                <w:rFonts w:ascii="Verdana" w:hAnsi="Verdana"/>
                <w:noProof/>
              </w:rPr>
              <w:t>to access pages</w:t>
            </w:r>
            <w:r>
              <w:rPr>
                <w:rFonts w:ascii="Verdana" w:hAnsi="Verdana"/>
                <w:noProof/>
              </w:rPr>
              <w:t xml:space="preserve"> pertaining to </w:t>
            </w:r>
            <w:r w:rsidR="00A831B8">
              <w:rPr>
                <w:rFonts w:ascii="Verdana" w:hAnsi="Verdana"/>
                <w:noProof/>
              </w:rPr>
              <w:t xml:space="preserve">the entire </w:t>
            </w:r>
            <w:r w:rsidR="00F82CFC">
              <w:rPr>
                <w:rFonts w:ascii="Verdana" w:hAnsi="Verdana"/>
                <w:noProof/>
              </w:rPr>
              <w:t xml:space="preserve">worksheet approval and invoice generation </w:t>
            </w:r>
            <w:r w:rsidR="00A831B8">
              <w:rPr>
                <w:rFonts w:ascii="Verdana" w:hAnsi="Verdana"/>
                <w:noProof/>
              </w:rPr>
              <w:t>process.</w:t>
            </w:r>
          </w:p>
          <w:p w:rsidR="00CD3BF6" w:rsidRDefault="00CD3BF6" w:rsidP="00C77DAD">
            <w:pPr>
              <w:rPr>
                <w:rFonts w:ascii="Verdana" w:hAnsi="Verdana"/>
                <w:noProof/>
              </w:rPr>
            </w:pPr>
          </w:p>
          <w:p w:rsidR="00CD3BF6" w:rsidRDefault="00CD3BF6" w:rsidP="00C77DAD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96502C" w:rsidRDefault="00A831B8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B2D0C0" wp14:editId="5BE82B35">
                  <wp:extent cx="4935507" cy="26098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0274" cy="2707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1B8" w:rsidRPr="00161D65" w:rsidTr="00161D65">
        <w:tc>
          <w:tcPr>
            <w:tcW w:w="3330" w:type="dxa"/>
          </w:tcPr>
          <w:p w:rsidR="00A831B8" w:rsidRDefault="00A831B8" w:rsidP="00C77DAD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A831B8" w:rsidRDefault="00A831B8" w:rsidP="00800551">
            <w:pPr>
              <w:rPr>
                <w:noProof/>
              </w:rPr>
            </w:pPr>
          </w:p>
        </w:tc>
      </w:tr>
      <w:tr w:rsidR="00A831B8" w:rsidRPr="00161D65" w:rsidTr="00161D65">
        <w:tc>
          <w:tcPr>
            <w:tcW w:w="3330" w:type="dxa"/>
          </w:tcPr>
          <w:p w:rsidR="00A831B8" w:rsidRDefault="00A831B8" w:rsidP="00C77DA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lastRenderedPageBreak/>
              <w:t>By using the up and down arrows to the right of the folder allows the user to expand or collapse the folders.  The dark blue rectangle with the || icon allows the user to expand or collapse the left window.</w:t>
            </w:r>
          </w:p>
        </w:tc>
        <w:tc>
          <w:tcPr>
            <w:tcW w:w="7128" w:type="dxa"/>
          </w:tcPr>
          <w:p w:rsidR="00A831B8" w:rsidRDefault="00A831B8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B28E0A" wp14:editId="5A67B629">
                  <wp:extent cx="6233717" cy="48863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4731" cy="4926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8D5" w:rsidRPr="00161D65" w:rsidTr="00161D65">
        <w:tc>
          <w:tcPr>
            <w:tcW w:w="3330" w:type="dxa"/>
          </w:tcPr>
          <w:p w:rsidR="003248D5" w:rsidRDefault="003248D5" w:rsidP="00C77DAD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3248D5" w:rsidRDefault="003248D5" w:rsidP="00800551">
            <w:pPr>
              <w:rPr>
                <w:noProof/>
              </w:rPr>
            </w:pPr>
          </w:p>
        </w:tc>
      </w:tr>
      <w:tr w:rsidR="003248D5" w:rsidRPr="00161D65" w:rsidTr="00161D65">
        <w:tc>
          <w:tcPr>
            <w:tcW w:w="3330" w:type="dxa"/>
          </w:tcPr>
          <w:p w:rsidR="00941AAF" w:rsidRPr="00E16B28" w:rsidRDefault="00941AAF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Online Billing</w:t>
            </w:r>
          </w:p>
          <w:p w:rsidR="00067A5B" w:rsidRDefault="00067A5B" w:rsidP="00C77DAD">
            <w:pPr>
              <w:rPr>
                <w:rFonts w:ascii="Verdana" w:hAnsi="Verdana"/>
                <w:noProof/>
              </w:rPr>
            </w:pPr>
          </w:p>
          <w:p w:rsidR="00067A5B" w:rsidRDefault="00067A5B" w:rsidP="00C77DAD">
            <w:pPr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57658E4D" wp14:editId="6E10F83C">
                  <wp:extent cx="1977390" cy="1565275"/>
                  <wp:effectExtent l="0" t="0" r="381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390" cy="156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7A5B" w:rsidRDefault="00067A5B" w:rsidP="00C77DAD">
            <w:pPr>
              <w:rPr>
                <w:rFonts w:ascii="Verdana" w:hAnsi="Verdana"/>
                <w:noProof/>
              </w:rPr>
            </w:pPr>
          </w:p>
          <w:p w:rsidR="00CD3BF6" w:rsidRDefault="003248D5" w:rsidP="00C77DA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Select the Online Billing tile from the Billing homepage </w:t>
            </w:r>
            <w:r w:rsidR="00941AAF">
              <w:rPr>
                <w:rFonts w:ascii="Verdana" w:hAnsi="Verdana"/>
                <w:noProof/>
              </w:rPr>
              <w:t>to access the pages</w:t>
            </w:r>
            <w:r>
              <w:rPr>
                <w:rFonts w:ascii="Verdana" w:hAnsi="Verdana"/>
                <w:noProof/>
              </w:rPr>
              <w:t xml:space="preserve"> to process online invoices in SMART.</w:t>
            </w:r>
          </w:p>
          <w:p w:rsidR="00CD3BF6" w:rsidRDefault="00CD3BF6" w:rsidP="00C77DAD">
            <w:pPr>
              <w:rPr>
                <w:rFonts w:ascii="Verdana" w:hAnsi="Verdana"/>
                <w:noProof/>
              </w:rPr>
            </w:pPr>
          </w:p>
          <w:p w:rsidR="003248D5" w:rsidRDefault="003248D5" w:rsidP="00C77DA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  </w:t>
            </w:r>
          </w:p>
        </w:tc>
        <w:tc>
          <w:tcPr>
            <w:tcW w:w="7128" w:type="dxa"/>
          </w:tcPr>
          <w:p w:rsidR="003248D5" w:rsidRDefault="003248D5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B2EA0D" wp14:editId="023A3BBA">
                  <wp:extent cx="4389120" cy="362458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0" cy="362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8D5" w:rsidRPr="00161D65" w:rsidTr="00161D65">
        <w:tc>
          <w:tcPr>
            <w:tcW w:w="3330" w:type="dxa"/>
          </w:tcPr>
          <w:p w:rsidR="003248D5" w:rsidRDefault="003248D5" w:rsidP="00C77DAD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3248D5" w:rsidRDefault="003248D5" w:rsidP="00800551">
            <w:pPr>
              <w:rPr>
                <w:noProof/>
              </w:rPr>
            </w:pPr>
          </w:p>
        </w:tc>
      </w:tr>
      <w:tr w:rsidR="003248D5" w:rsidRPr="00161D65" w:rsidTr="00161D65">
        <w:tc>
          <w:tcPr>
            <w:tcW w:w="3330" w:type="dxa"/>
          </w:tcPr>
          <w:p w:rsidR="003248D5" w:rsidRDefault="003248D5" w:rsidP="00C77DA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There are useful page links for monitoring the billing processes.</w:t>
            </w:r>
          </w:p>
        </w:tc>
        <w:tc>
          <w:tcPr>
            <w:tcW w:w="7128" w:type="dxa"/>
          </w:tcPr>
          <w:p w:rsidR="003248D5" w:rsidRDefault="003248D5" w:rsidP="00800551">
            <w:pPr>
              <w:rPr>
                <w:noProof/>
              </w:rPr>
            </w:pPr>
            <w:r>
              <w:rPr>
                <w:noProof/>
              </w:rPr>
              <w:t xml:space="preserve">                          </w:t>
            </w:r>
            <w:r>
              <w:rPr>
                <w:noProof/>
              </w:rPr>
              <w:drawing>
                <wp:inline distT="0" distB="0" distL="0" distR="0" wp14:anchorId="717467BA" wp14:editId="6B2669DA">
                  <wp:extent cx="2063735" cy="69723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082" cy="7118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F38" w:rsidRPr="00161D65" w:rsidTr="00161D65">
        <w:tc>
          <w:tcPr>
            <w:tcW w:w="3330" w:type="dxa"/>
          </w:tcPr>
          <w:p w:rsidR="00B66F38" w:rsidRDefault="00B66F38" w:rsidP="00C77DAD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B66F38" w:rsidRDefault="00B66F38" w:rsidP="00800551">
            <w:pPr>
              <w:rPr>
                <w:noProof/>
              </w:rPr>
            </w:pPr>
          </w:p>
        </w:tc>
      </w:tr>
      <w:tr w:rsidR="00B66F38" w:rsidRPr="00161D65" w:rsidTr="00161D65">
        <w:tc>
          <w:tcPr>
            <w:tcW w:w="3330" w:type="dxa"/>
          </w:tcPr>
          <w:p w:rsidR="00941AAF" w:rsidRDefault="00941AAF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lastRenderedPageBreak/>
              <w:t>Billing Job Aids</w:t>
            </w:r>
          </w:p>
          <w:p w:rsidR="00067A5B" w:rsidRPr="00E16B28" w:rsidRDefault="00067A5B" w:rsidP="00C77DAD">
            <w:pPr>
              <w:rPr>
                <w:rFonts w:ascii="Verdana" w:hAnsi="Verdana"/>
                <w:b/>
                <w:noProof/>
              </w:rPr>
            </w:pPr>
          </w:p>
          <w:p w:rsidR="00067A5B" w:rsidRDefault="00067A5B" w:rsidP="00C77DAD">
            <w:pPr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20DCE847" wp14:editId="55C7B0A7">
                  <wp:extent cx="1977390" cy="1568450"/>
                  <wp:effectExtent l="0" t="0" r="381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390" cy="156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7A5B" w:rsidRDefault="00067A5B" w:rsidP="00C77DAD">
            <w:pPr>
              <w:rPr>
                <w:rFonts w:ascii="Verdana" w:hAnsi="Verdana"/>
                <w:noProof/>
              </w:rPr>
            </w:pPr>
          </w:p>
          <w:p w:rsidR="00CD3BF6" w:rsidRDefault="00B66F38" w:rsidP="00C77DA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Select the Billing Job Aids tile </w:t>
            </w:r>
            <w:r w:rsidR="00941AAF">
              <w:rPr>
                <w:rFonts w:ascii="Verdana" w:hAnsi="Verdana"/>
                <w:noProof/>
              </w:rPr>
              <w:t>to access the Billing</w:t>
            </w:r>
            <w:r>
              <w:rPr>
                <w:rFonts w:ascii="Verdana" w:hAnsi="Verdana"/>
                <w:noProof/>
              </w:rPr>
              <w:t xml:space="preserve"> Training Guides and Job Aid on SMART</w:t>
            </w:r>
            <w:r>
              <w:rPr>
                <w:rFonts w:ascii="Verdana" w:hAnsi="Verdana"/>
                <w:i/>
                <w:noProof/>
              </w:rPr>
              <w:t>Web.</w:t>
            </w:r>
            <w:r>
              <w:rPr>
                <w:rFonts w:ascii="Verdana" w:hAnsi="Verdana"/>
                <w:noProof/>
              </w:rPr>
              <w:t xml:space="preserve"> </w:t>
            </w:r>
          </w:p>
          <w:p w:rsidR="00CD3BF6" w:rsidRDefault="00CD3BF6" w:rsidP="00C77DAD">
            <w:pPr>
              <w:rPr>
                <w:rFonts w:ascii="Verdana" w:hAnsi="Verdana"/>
                <w:noProof/>
              </w:rPr>
            </w:pPr>
          </w:p>
          <w:p w:rsidR="00B66F38" w:rsidRPr="00B66F38" w:rsidRDefault="00B66F38" w:rsidP="00C77DA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 </w:t>
            </w:r>
          </w:p>
        </w:tc>
        <w:tc>
          <w:tcPr>
            <w:tcW w:w="7128" w:type="dxa"/>
          </w:tcPr>
          <w:p w:rsidR="00B66F38" w:rsidRDefault="00B66F38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7A340A" wp14:editId="6C2C6025">
                  <wp:extent cx="4389120" cy="20193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F38" w:rsidRPr="00161D65" w:rsidTr="00161D65">
        <w:tc>
          <w:tcPr>
            <w:tcW w:w="3330" w:type="dxa"/>
          </w:tcPr>
          <w:p w:rsidR="00B66F38" w:rsidRDefault="00B66F38" w:rsidP="00C77DAD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B66F38" w:rsidRDefault="00B66F38" w:rsidP="00800551">
            <w:pPr>
              <w:rPr>
                <w:noProof/>
              </w:rPr>
            </w:pPr>
          </w:p>
        </w:tc>
      </w:tr>
      <w:tr w:rsidR="00B66F38" w:rsidRPr="00161D65" w:rsidTr="00161D65">
        <w:tc>
          <w:tcPr>
            <w:tcW w:w="3330" w:type="dxa"/>
          </w:tcPr>
          <w:p w:rsidR="00B66F38" w:rsidRDefault="00B66F38" w:rsidP="00C77DA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Selecting a link will open  SMART</w:t>
            </w:r>
            <w:r>
              <w:rPr>
                <w:rFonts w:ascii="Verdana" w:hAnsi="Verdana"/>
                <w:i/>
                <w:noProof/>
              </w:rPr>
              <w:t xml:space="preserve">Web </w:t>
            </w:r>
            <w:r>
              <w:rPr>
                <w:rFonts w:ascii="Verdana" w:hAnsi="Verdana"/>
                <w:noProof/>
              </w:rPr>
              <w:t xml:space="preserve">in new window </w:t>
            </w:r>
            <w:r w:rsidR="009E17E7">
              <w:rPr>
                <w:rFonts w:ascii="Verdana" w:hAnsi="Verdana"/>
                <w:noProof/>
              </w:rPr>
              <w:t>and take the user directly to</w:t>
            </w:r>
            <w:r>
              <w:rPr>
                <w:rFonts w:ascii="Verdana" w:hAnsi="Verdana"/>
                <w:noProof/>
              </w:rPr>
              <w:t xml:space="preserve"> the Billing Training Guides and Job Aid.</w:t>
            </w:r>
          </w:p>
        </w:tc>
        <w:tc>
          <w:tcPr>
            <w:tcW w:w="7128" w:type="dxa"/>
          </w:tcPr>
          <w:p w:rsidR="00B66F38" w:rsidRDefault="00B66F38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55D480" wp14:editId="2BEAF32D">
                  <wp:extent cx="4389120" cy="213931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0" cy="2139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BF6" w:rsidRPr="00161D65" w:rsidTr="00161D65">
        <w:tc>
          <w:tcPr>
            <w:tcW w:w="3330" w:type="dxa"/>
          </w:tcPr>
          <w:p w:rsidR="00CD3BF6" w:rsidRDefault="00CD3BF6" w:rsidP="00C77DAD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CD3BF6" w:rsidRDefault="00CD3BF6" w:rsidP="00800551">
            <w:pPr>
              <w:rPr>
                <w:noProof/>
              </w:rPr>
            </w:pPr>
          </w:p>
        </w:tc>
      </w:tr>
      <w:tr w:rsidR="00CD3BF6" w:rsidRPr="00161D65" w:rsidTr="00161D65">
        <w:tc>
          <w:tcPr>
            <w:tcW w:w="3330" w:type="dxa"/>
          </w:tcPr>
          <w:p w:rsidR="00CD3BF6" w:rsidRDefault="00CD3BF6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lastRenderedPageBreak/>
              <w:t>Utilities</w:t>
            </w:r>
          </w:p>
          <w:p w:rsidR="00CD3BF6" w:rsidRDefault="00CD3BF6" w:rsidP="00C77DAD">
            <w:pPr>
              <w:rPr>
                <w:rFonts w:ascii="Verdana" w:hAnsi="Verdana"/>
                <w:b/>
                <w:noProof/>
              </w:rPr>
            </w:pPr>
          </w:p>
          <w:p w:rsidR="00067A5B" w:rsidRDefault="00067A5B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7688EEFD" wp14:editId="7E4546A2">
                  <wp:extent cx="1977390" cy="1537970"/>
                  <wp:effectExtent l="0" t="0" r="3810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390" cy="153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7A5B" w:rsidRDefault="00067A5B" w:rsidP="009E4938">
            <w:pPr>
              <w:rPr>
                <w:rFonts w:ascii="Verdana" w:hAnsi="Verdana"/>
                <w:noProof/>
              </w:rPr>
            </w:pPr>
          </w:p>
          <w:p w:rsidR="009E4938" w:rsidRDefault="009E4938" w:rsidP="009E4938">
            <w:pPr>
              <w:rPr>
                <w:rFonts w:ascii="Verdana" w:hAnsi="Verdana"/>
                <w:noProof/>
              </w:rPr>
            </w:pPr>
            <w:bookmarkStart w:id="0" w:name="_GoBack"/>
            <w:bookmarkEnd w:id="0"/>
            <w:r>
              <w:rPr>
                <w:rFonts w:ascii="Verdana" w:hAnsi="Verdana"/>
                <w:noProof/>
              </w:rPr>
              <w:t>This tile allows users to acccess the Process Monitor, Queries, Report Manager, nVision and BI Analytics.</w:t>
            </w:r>
          </w:p>
          <w:p w:rsidR="00CD3BF6" w:rsidRDefault="00CD3BF6" w:rsidP="00C77DAD">
            <w:pPr>
              <w:rPr>
                <w:rFonts w:ascii="Verdana" w:hAnsi="Verdana"/>
                <w:b/>
                <w:noProof/>
              </w:rPr>
            </w:pPr>
          </w:p>
          <w:p w:rsidR="00CD3BF6" w:rsidRPr="00CD3BF6" w:rsidRDefault="00CD3BF6" w:rsidP="00C77DAD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7128" w:type="dxa"/>
          </w:tcPr>
          <w:p w:rsidR="00CD3BF6" w:rsidRDefault="009E4938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6D7CE0" wp14:editId="194D741B">
                  <wp:extent cx="2409524" cy="6742857"/>
                  <wp:effectExtent l="0" t="0" r="0" b="127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524" cy="67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938" w:rsidRPr="00161D65" w:rsidTr="00161D65">
        <w:tc>
          <w:tcPr>
            <w:tcW w:w="3330" w:type="dxa"/>
          </w:tcPr>
          <w:p w:rsidR="009E4938" w:rsidRDefault="009E4938" w:rsidP="00C77DAD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7128" w:type="dxa"/>
          </w:tcPr>
          <w:p w:rsidR="009E4938" w:rsidRDefault="009E4938" w:rsidP="00800551">
            <w:pPr>
              <w:rPr>
                <w:noProof/>
              </w:rPr>
            </w:pPr>
          </w:p>
        </w:tc>
      </w:tr>
    </w:tbl>
    <w:p w:rsidR="00D35629" w:rsidRDefault="00D35629" w:rsidP="00652B29">
      <w:pPr>
        <w:spacing w:after="100" w:afterAutospacing="1"/>
        <w:rPr>
          <w:rFonts w:ascii="Calibri" w:hAnsi="Calibri"/>
        </w:rPr>
      </w:pPr>
    </w:p>
    <w:sectPr w:rsidR="00D35629" w:rsidSect="00800E42">
      <w:footerReference w:type="default" r:id="rId32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D9B" w:rsidRDefault="00DB3D9B" w:rsidP="00996C68">
      <w:r>
        <w:separator/>
      </w:r>
    </w:p>
  </w:endnote>
  <w:endnote w:type="continuationSeparator" w:id="0">
    <w:p w:rsidR="00DB3D9B" w:rsidRDefault="00DB3D9B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3A5" w:rsidRPr="00996C68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C268F6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C268F6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</w:p>
  <w:p w:rsidR="004A43A5" w:rsidRDefault="004A4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D9B" w:rsidRDefault="00DB3D9B" w:rsidP="00996C68">
      <w:r>
        <w:separator/>
      </w:r>
    </w:p>
  </w:footnote>
  <w:footnote w:type="continuationSeparator" w:id="0">
    <w:p w:rsidR="00DB3D9B" w:rsidRDefault="00DB3D9B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34C3"/>
    <w:multiLevelType w:val="hybridMultilevel"/>
    <w:tmpl w:val="BE9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12"/>
  </w:num>
  <w:num w:numId="10">
    <w:abstractNumId w:val="8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1126C"/>
    <w:rsid w:val="000202B3"/>
    <w:rsid w:val="00031167"/>
    <w:rsid w:val="00037422"/>
    <w:rsid w:val="00046D31"/>
    <w:rsid w:val="00065551"/>
    <w:rsid w:val="00067A5B"/>
    <w:rsid w:val="00097987"/>
    <w:rsid w:val="000A40AE"/>
    <w:rsid w:val="000A7AED"/>
    <w:rsid w:val="000B12F4"/>
    <w:rsid w:val="000B70C4"/>
    <w:rsid w:val="000E69AC"/>
    <w:rsid w:val="000E7D16"/>
    <w:rsid w:val="000F293F"/>
    <w:rsid w:val="000F3F4C"/>
    <w:rsid w:val="000F77D1"/>
    <w:rsid w:val="00114C3F"/>
    <w:rsid w:val="001251AD"/>
    <w:rsid w:val="001320A7"/>
    <w:rsid w:val="00140AAC"/>
    <w:rsid w:val="00145465"/>
    <w:rsid w:val="00157F39"/>
    <w:rsid w:val="00161D65"/>
    <w:rsid w:val="00197B74"/>
    <w:rsid w:val="001A135E"/>
    <w:rsid w:val="001A6CF3"/>
    <w:rsid w:val="001B52C2"/>
    <w:rsid w:val="001D4AD4"/>
    <w:rsid w:val="001E1893"/>
    <w:rsid w:val="001E6AFC"/>
    <w:rsid w:val="001F69A1"/>
    <w:rsid w:val="00222809"/>
    <w:rsid w:val="002259E7"/>
    <w:rsid w:val="00233313"/>
    <w:rsid w:val="002407E4"/>
    <w:rsid w:val="00246CBA"/>
    <w:rsid w:val="0024780E"/>
    <w:rsid w:val="00254DE3"/>
    <w:rsid w:val="00263863"/>
    <w:rsid w:val="00265739"/>
    <w:rsid w:val="00271391"/>
    <w:rsid w:val="00290E9D"/>
    <w:rsid w:val="002E13D2"/>
    <w:rsid w:val="00305881"/>
    <w:rsid w:val="003064CA"/>
    <w:rsid w:val="00310EBC"/>
    <w:rsid w:val="00312661"/>
    <w:rsid w:val="003248D5"/>
    <w:rsid w:val="0033639B"/>
    <w:rsid w:val="00341BE7"/>
    <w:rsid w:val="00342FC1"/>
    <w:rsid w:val="00345821"/>
    <w:rsid w:val="00351DE4"/>
    <w:rsid w:val="003520A0"/>
    <w:rsid w:val="003549D3"/>
    <w:rsid w:val="003738F2"/>
    <w:rsid w:val="0039653E"/>
    <w:rsid w:val="003A37DE"/>
    <w:rsid w:val="003B15D7"/>
    <w:rsid w:val="003C53AA"/>
    <w:rsid w:val="003E2E95"/>
    <w:rsid w:val="003F2AA2"/>
    <w:rsid w:val="0040197F"/>
    <w:rsid w:val="004066B9"/>
    <w:rsid w:val="004128EE"/>
    <w:rsid w:val="004443B6"/>
    <w:rsid w:val="004607B4"/>
    <w:rsid w:val="00465373"/>
    <w:rsid w:val="00466533"/>
    <w:rsid w:val="00477DAF"/>
    <w:rsid w:val="004847C7"/>
    <w:rsid w:val="0049585B"/>
    <w:rsid w:val="004A0B6D"/>
    <w:rsid w:val="004A43A5"/>
    <w:rsid w:val="004C084E"/>
    <w:rsid w:val="004C0BC4"/>
    <w:rsid w:val="004C7AB2"/>
    <w:rsid w:val="004E2570"/>
    <w:rsid w:val="004E60F1"/>
    <w:rsid w:val="00535F16"/>
    <w:rsid w:val="005544A6"/>
    <w:rsid w:val="005559DD"/>
    <w:rsid w:val="00584192"/>
    <w:rsid w:val="005A65E5"/>
    <w:rsid w:val="005B714B"/>
    <w:rsid w:val="005C4C83"/>
    <w:rsid w:val="005D69D6"/>
    <w:rsid w:val="005E2CAF"/>
    <w:rsid w:val="005E3AB3"/>
    <w:rsid w:val="005F7B5A"/>
    <w:rsid w:val="00606BC0"/>
    <w:rsid w:val="006075D3"/>
    <w:rsid w:val="006105D7"/>
    <w:rsid w:val="00611B4C"/>
    <w:rsid w:val="00624C1B"/>
    <w:rsid w:val="00652B29"/>
    <w:rsid w:val="00652D2D"/>
    <w:rsid w:val="00652F36"/>
    <w:rsid w:val="00671862"/>
    <w:rsid w:val="006754BF"/>
    <w:rsid w:val="006845C8"/>
    <w:rsid w:val="006A60FB"/>
    <w:rsid w:val="006B429C"/>
    <w:rsid w:val="006C4BC2"/>
    <w:rsid w:val="006D1E78"/>
    <w:rsid w:val="006F03AB"/>
    <w:rsid w:val="00706D9D"/>
    <w:rsid w:val="007100D6"/>
    <w:rsid w:val="0072049B"/>
    <w:rsid w:val="00731301"/>
    <w:rsid w:val="007424DD"/>
    <w:rsid w:val="007607AB"/>
    <w:rsid w:val="00796837"/>
    <w:rsid w:val="007A7FF1"/>
    <w:rsid w:val="007B111E"/>
    <w:rsid w:val="007E38B9"/>
    <w:rsid w:val="007E6960"/>
    <w:rsid w:val="007F3D2C"/>
    <w:rsid w:val="00800551"/>
    <w:rsid w:val="00800E42"/>
    <w:rsid w:val="00806A57"/>
    <w:rsid w:val="00812A2C"/>
    <w:rsid w:val="00835DD3"/>
    <w:rsid w:val="0084482B"/>
    <w:rsid w:val="00853B49"/>
    <w:rsid w:val="00881603"/>
    <w:rsid w:val="00890040"/>
    <w:rsid w:val="008934AD"/>
    <w:rsid w:val="008B5B32"/>
    <w:rsid w:val="008C6EDA"/>
    <w:rsid w:val="008D104C"/>
    <w:rsid w:val="008E5F3A"/>
    <w:rsid w:val="00916A14"/>
    <w:rsid w:val="00934316"/>
    <w:rsid w:val="00941AAF"/>
    <w:rsid w:val="0094387D"/>
    <w:rsid w:val="00945EAE"/>
    <w:rsid w:val="0096138D"/>
    <w:rsid w:val="0096502C"/>
    <w:rsid w:val="009773A3"/>
    <w:rsid w:val="00996C68"/>
    <w:rsid w:val="009A5953"/>
    <w:rsid w:val="009B690D"/>
    <w:rsid w:val="009E17E7"/>
    <w:rsid w:val="009E2F66"/>
    <w:rsid w:val="009E381A"/>
    <w:rsid w:val="009E4938"/>
    <w:rsid w:val="00A008BC"/>
    <w:rsid w:val="00A05D98"/>
    <w:rsid w:val="00A831B8"/>
    <w:rsid w:val="00AC3EA4"/>
    <w:rsid w:val="00AD7F09"/>
    <w:rsid w:val="00AF2E3C"/>
    <w:rsid w:val="00B02D46"/>
    <w:rsid w:val="00B249D0"/>
    <w:rsid w:val="00B37C9A"/>
    <w:rsid w:val="00B419B2"/>
    <w:rsid w:val="00B55A0E"/>
    <w:rsid w:val="00B66F38"/>
    <w:rsid w:val="00B75097"/>
    <w:rsid w:val="00B91997"/>
    <w:rsid w:val="00BB4D40"/>
    <w:rsid w:val="00BC1B53"/>
    <w:rsid w:val="00BD5937"/>
    <w:rsid w:val="00BD7387"/>
    <w:rsid w:val="00BE2598"/>
    <w:rsid w:val="00C040EC"/>
    <w:rsid w:val="00C06422"/>
    <w:rsid w:val="00C14960"/>
    <w:rsid w:val="00C151E2"/>
    <w:rsid w:val="00C268F6"/>
    <w:rsid w:val="00C7261B"/>
    <w:rsid w:val="00C74345"/>
    <w:rsid w:val="00C74D13"/>
    <w:rsid w:val="00C77DAD"/>
    <w:rsid w:val="00C81D1B"/>
    <w:rsid w:val="00C902E5"/>
    <w:rsid w:val="00C956FF"/>
    <w:rsid w:val="00CA22C5"/>
    <w:rsid w:val="00CA3CE1"/>
    <w:rsid w:val="00CB14AC"/>
    <w:rsid w:val="00CC3C74"/>
    <w:rsid w:val="00CC5C66"/>
    <w:rsid w:val="00CD0715"/>
    <w:rsid w:val="00CD3425"/>
    <w:rsid w:val="00CD3BF6"/>
    <w:rsid w:val="00CE4786"/>
    <w:rsid w:val="00CE66D0"/>
    <w:rsid w:val="00CE7F03"/>
    <w:rsid w:val="00CF4252"/>
    <w:rsid w:val="00D05114"/>
    <w:rsid w:val="00D109F2"/>
    <w:rsid w:val="00D22CDD"/>
    <w:rsid w:val="00D35629"/>
    <w:rsid w:val="00D44C86"/>
    <w:rsid w:val="00D72EF5"/>
    <w:rsid w:val="00D750EC"/>
    <w:rsid w:val="00D77D64"/>
    <w:rsid w:val="00D81B16"/>
    <w:rsid w:val="00D83D31"/>
    <w:rsid w:val="00D864BD"/>
    <w:rsid w:val="00D96D6D"/>
    <w:rsid w:val="00DB39DE"/>
    <w:rsid w:val="00DB3D9B"/>
    <w:rsid w:val="00DB76F4"/>
    <w:rsid w:val="00DD2131"/>
    <w:rsid w:val="00DD7F86"/>
    <w:rsid w:val="00DE0CEC"/>
    <w:rsid w:val="00DF5022"/>
    <w:rsid w:val="00E16B28"/>
    <w:rsid w:val="00E42952"/>
    <w:rsid w:val="00E46737"/>
    <w:rsid w:val="00E75341"/>
    <w:rsid w:val="00E9354B"/>
    <w:rsid w:val="00EA49CE"/>
    <w:rsid w:val="00EB148E"/>
    <w:rsid w:val="00ED4497"/>
    <w:rsid w:val="00EE1A38"/>
    <w:rsid w:val="00F16688"/>
    <w:rsid w:val="00F3608C"/>
    <w:rsid w:val="00F366FE"/>
    <w:rsid w:val="00F5112D"/>
    <w:rsid w:val="00F62BAC"/>
    <w:rsid w:val="00F664E4"/>
    <w:rsid w:val="00F67A85"/>
    <w:rsid w:val="00F74D94"/>
    <w:rsid w:val="00F81AF8"/>
    <w:rsid w:val="00F82CFC"/>
    <w:rsid w:val="00FB65CC"/>
    <w:rsid w:val="00FB7A31"/>
    <w:rsid w:val="00FE35A3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95D189B"/>
  <w15:docId w15:val="{C2DD51C2-5439-4A1B-97F1-3F7A0979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9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Shaver, Linda [DASM]</cp:lastModifiedBy>
  <cp:revision>12</cp:revision>
  <cp:lastPrinted>2012-11-27T20:45:00Z</cp:lastPrinted>
  <dcterms:created xsi:type="dcterms:W3CDTF">2019-02-19T20:26:00Z</dcterms:created>
  <dcterms:modified xsi:type="dcterms:W3CDTF">2019-03-07T17:27:00Z</dcterms:modified>
</cp:coreProperties>
</file>